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B47BC" w14:textId="1127146C" w:rsidR="00463675" w:rsidRDefault="00F55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</w:t>
      </w:r>
      <w:r w:rsidR="00463675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86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R4-18</w:t>
      </w:r>
      <w:r w:rsidR="001A0CDA">
        <w:rPr>
          <w:rFonts w:ascii="Arial" w:hAnsi="Arial" w:cs="Arial"/>
          <w:b/>
          <w:bCs/>
          <w:sz w:val="22"/>
        </w:rPr>
        <w:t>02367</w:t>
      </w:r>
    </w:p>
    <w:p w14:paraId="6F1BE91C" w14:textId="77777777" w:rsidR="00463675" w:rsidRDefault="00F5584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26 February – 2 March 2018</w:t>
      </w:r>
    </w:p>
    <w:p w14:paraId="1CCAD401" w14:textId="77777777" w:rsidR="00463675" w:rsidRPr="00AB3D66" w:rsidRDefault="00463675">
      <w:pPr>
        <w:rPr>
          <w:rFonts w:ascii="Arial" w:hAnsi="Arial" w:cs="Arial"/>
        </w:rPr>
      </w:pPr>
    </w:p>
    <w:p w14:paraId="2C33F58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commentRangeStart w:id="0"/>
      <w:r w:rsidRPr="00AB3D66">
        <w:rPr>
          <w:rFonts w:ascii="Arial" w:hAnsi="Arial" w:cs="Arial"/>
          <w:b/>
        </w:rPr>
        <w:t>[DRAFT]</w:t>
      </w:r>
      <w:commentRangeEnd w:id="0"/>
      <w:r w:rsidRPr="00AB3D66">
        <w:rPr>
          <w:rStyle w:val="CommentReference"/>
          <w:rFonts w:ascii="Arial" w:hAnsi="Arial"/>
          <w:vanish/>
          <w:sz w:val="20"/>
        </w:rPr>
        <w:commentReference w:id="0"/>
      </w:r>
      <w:r w:rsidRPr="00AB3D66">
        <w:rPr>
          <w:rFonts w:ascii="Arial" w:hAnsi="Arial" w:cs="Arial"/>
          <w:bCs/>
        </w:rPr>
        <w:t xml:space="preserve"> LS </w:t>
      </w:r>
      <w:r w:rsidR="00F55848" w:rsidRPr="00AB3D66">
        <w:rPr>
          <w:rFonts w:ascii="Arial" w:hAnsi="Arial" w:cs="Arial"/>
          <w:bCs/>
        </w:rPr>
        <w:t xml:space="preserve">response </w:t>
      </w:r>
      <w:r w:rsidRPr="00AB3D66">
        <w:rPr>
          <w:rFonts w:ascii="Arial" w:hAnsi="Arial" w:cs="Arial"/>
          <w:bCs/>
        </w:rPr>
        <w:t xml:space="preserve">on </w:t>
      </w:r>
      <w:r w:rsidR="00F55848" w:rsidRPr="00AB3D66">
        <w:rPr>
          <w:rFonts w:ascii="Arial" w:hAnsi="Arial" w:cs="Arial"/>
          <w:bCs/>
        </w:rPr>
        <w:t>CRS muting in eFeMTC</w:t>
      </w:r>
    </w:p>
    <w:p w14:paraId="605EA9E9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R1-1706734</w:t>
      </w:r>
    </w:p>
    <w:p w14:paraId="2AA92B22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Rel-15</w:t>
      </w:r>
    </w:p>
    <w:p w14:paraId="36E888E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LTE_eMTC4-Core</w:t>
      </w:r>
    </w:p>
    <w:p w14:paraId="11D7C4D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6CF7C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14:paraId="2372930D" w14:textId="501F96C0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14:paraId="7D802C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415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F6B4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891AD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14:paraId="77D732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BBF90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14:paraId="674D9A9F" w14:textId="77777777" w:rsidR="00923E7C" w:rsidRDefault="00923E7C" w:rsidP="002E3CB9">
      <w:pPr>
        <w:spacing w:after="60"/>
        <w:rPr>
          <w:rFonts w:ascii="Arial" w:hAnsi="Arial" w:cs="Arial"/>
          <w:b/>
        </w:rPr>
      </w:pPr>
    </w:p>
    <w:p w14:paraId="2731A32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14:paraId="364BC28A" w14:textId="77777777"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72FFA7" w14:textId="77777777" w:rsidR="00463675" w:rsidRDefault="00463675">
      <w:pPr>
        <w:rPr>
          <w:rFonts w:ascii="Arial" w:hAnsi="Arial" w:cs="Arial"/>
        </w:rPr>
      </w:pPr>
    </w:p>
    <w:p w14:paraId="3DC6632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D61BC3" w14:textId="77777777" w:rsidR="00463675" w:rsidRDefault="00793E18">
      <w:pPr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>would like to thank RAN WG1 for the LS on CRS muting for Rel-15 LTE-MTC. RAN WG4 have discussed the minimum amount of CRS to be maintained in time and frequency</w:t>
      </w:r>
      <w:r w:rsidR="00594AA8">
        <w:rPr>
          <w:rFonts w:ascii="Arial" w:hAnsi="Arial" w:cs="Arial"/>
          <w:iCs/>
        </w:rPr>
        <w:t>.</w:t>
      </w:r>
    </w:p>
    <w:p w14:paraId="76F4172D" w14:textId="77777777" w:rsidR="00793E18" w:rsidRDefault="00793E18">
      <w:pPr>
        <w:rPr>
          <w:rFonts w:ascii="Arial" w:hAnsi="Arial" w:cs="Arial"/>
          <w:iCs/>
        </w:rPr>
      </w:pPr>
    </w:p>
    <w:p w14:paraId="0D2A059F" w14:textId="77777777" w:rsidR="00594AA8" w:rsidRDefault="00594AA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UE demodulation perspective, RAN WG4 has concluded the necessary amount of CRS(s) for X PRB(s) in frequency domain and Y subframes in time domain as follows:</w:t>
      </w:r>
    </w:p>
    <w:p w14:paraId="20266A5F" w14:textId="77777777" w:rsidR="00594AA8" w:rsidRDefault="00594AA8" w:rsidP="00594AA8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Frequency domain</w:t>
      </w:r>
    </w:p>
    <w:p w14:paraId="7CCB8E88" w14:textId="77777777" w:rsidR="00594AA8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X=1 PRB for Cat-M1 (1.4MHz channel bandwidth)</w:t>
      </w:r>
    </w:p>
    <w:p w14:paraId="2827F750" w14:textId="77777777" w:rsidR="00594AA8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X=0 PRBs for Cat-M2 (5MHz channel bandwidth)</w:t>
      </w:r>
    </w:p>
    <w:p w14:paraId="20476DF0" w14:textId="77777777" w:rsidR="00594AA8" w:rsidRDefault="00594AA8" w:rsidP="00594AA8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Time domain</w:t>
      </w:r>
    </w:p>
    <w:p w14:paraId="6F515AAA" w14:textId="77777777" w:rsidR="00594AA8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Cool-down period (after the transmission)</w:t>
      </w:r>
    </w:p>
    <w:p w14:paraId="1F101ABB" w14:textId="77777777" w:rsidR="00594AA8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Y=1 subframe for CRS-based PDSCH transmission at the end of the last narrowband transmission (both CE Mode A and CE Mode B)</w:t>
      </w:r>
    </w:p>
    <w:p w14:paraId="47DE2BDC" w14:textId="77777777" w:rsidR="00594AA8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Y=0 for other cases</w:t>
      </w:r>
    </w:p>
    <w:p w14:paraId="31456C0B" w14:textId="77777777" w:rsidR="00594AA8" w:rsidRDefault="00594AA8" w:rsidP="00594AA8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Warm-up period (before the transmission)</w:t>
      </w:r>
    </w:p>
    <w:p w14:paraId="4F4EA2A9" w14:textId="77777777" w:rsidR="00594AA8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Y=1 subframe before the target MPDCCH and PDSCH transmission (both CE Mode A and CE Mode B)</w:t>
      </w:r>
    </w:p>
    <w:p w14:paraId="16C2FDDF" w14:textId="77777777" w:rsidR="00594AA8" w:rsidRDefault="00594AA8" w:rsidP="00594AA8">
      <w:pPr>
        <w:numPr>
          <w:ilvl w:val="2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Y=0 for other cases</w:t>
      </w:r>
    </w:p>
    <w:p w14:paraId="51920AA2" w14:textId="77777777" w:rsidR="00594AA8" w:rsidRDefault="00594AA8" w:rsidP="00594AA8">
      <w:pPr>
        <w:rPr>
          <w:rFonts w:ascii="Arial" w:hAnsi="Arial" w:cs="Arial"/>
          <w:iCs/>
        </w:rPr>
      </w:pPr>
    </w:p>
    <w:p w14:paraId="6AAED2A6" w14:textId="30398335" w:rsidR="00594AA8" w:rsidRDefault="00594AA8" w:rsidP="00594AA8">
      <w:pPr>
        <w:rPr>
          <w:rFonts w:ascii="Arial" w:hAnsi="Arial" w:cs="Arial"/>
          <w:iCs/>
        </w:rPr>
      </w:pPr>
      <w:r w:rsidRPr="00AB3D66">
        <w:rPr>
          <w:rFonts w:ascii="Arial" w:hAnsi="Arial" w:cs="Arial"/>
          <w:iCs/>
        </w:rPr>
        <w:t xml:space="preserve">For RRM perspective, RAN WG4 has concluded the necessary amount of CRS(s) as follows: </w:t>
      </w:r>
    </w:p>
    <w:p w14:paraId="101C3F29" w14:textId="77777777" w:rsidR="0014279E" w:rsidRDefault="0014279E" w:rsidP="0014279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Warm-up/Cool-down</w:t>
      </w:r>
    </w:p>
    <w:p w14:paraId="19B84A0E" w14:textId="4F7D2C60" w:rsidR="0014279E" w:rsidRP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 xml:space="preserve">Warmup period before active time of DRX (e.g. DRX ON, MIB, paging, SIBx etc): </w:t>
      </w:r>
    </w:p>
    <w:p w14:paraId="4DFDBDC6" w14:textId="77777777" w:rsidR="0014279E" w:rsidRP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 xml:space="preserve">1 DL subframe </w:t>
      </w:r>
    </w:p>
    <w:p w14:paraId="1A6621BC" w14:textId="77777777" w:rsidR="0014279E" w:rsidRP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 xml:space="preserve">Cool down period before active time of DRX: </w:t>
      </w:r>
    </w:p>
    <w:p w14:paraId="5B28E3BD" w14:textId="77777777" w:rsidR="0014279E" w:rsidRP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>0 DL subframe</w:t>
      </w:r>
    </w:p>
    <w:p w14:paraId="30DA6E1D" w14:textId="67AA3A75" w:rsidR="0014279E" w:rsidRDefault="0014279E" w:rsidP="0014279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 xml:space="preserve">CRS </w:t>
      </w:r>
      <w:r w:rsidR="008A7ED6">
        <w:rPr>
          <w:rFonts w:ascii="Arial" w:hAnsi="Arial" w:cs="Arial"/>
          <w:iCs/>
        </w:rPr>
        <w:t xml:space="preserve">transmission </w:t>
      </w:r>
      <w:bookmarkStart w:id="1" w:name="_GoBack"/>
      <w:bookmarkEnd w:id="1"/>
      <w:r w:rsidRPr="0014279E">
        <w:rPr>
          <w:rFonts w:ascii="Arial" w:hAnsi="Arial" w:cs="Arial"/>
          <w:iCs/>
        </w:rPr>
        <w:t>in the center of cell BW</w:t>
      </w:r>
    </w:p>
    <w:p w14:paraId="71219794" w14:textId="2E3DF05F" w:rsid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Cat-M1</w:t>
      </w:r>
    </w:p>
    <w:p w14:paraId="193B2948" w14:textId="19302371" w:rsid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>6 central PRBs containing CRS are always transmitted</w:t>
      </w:r>
    </w:p>
    <w:p w14:paraId="66CC69B6" w14:textId="1013D59D" w:rsid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Cat-M2</w:t>
      </w:r>
    </w:p>
    <w:p w14:paraId="63F6B270" w14:textId="1B1F574E" w:rsidR="0014279E" w:rsidRP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  <w:highlight w:val="yellow"/>
        </w:rPr>
      </w:pPr>
      <w:r w:rsidRPr="0014279E">
        <w:rPr>
          <w:rFonts w:ascii="Arial" w:hAnsi="Arial" w:cs="Arial"/>
          <w:iCs/>
          <w:highlight w:val="yellow"/>
        </w:rPr>
        <w:t>FFS</w:t>
      </w:r>
    </w:p>
    <w:p w14:paraId="387C3545" w14:textId="7520985B" w:rsidR="0014279E" w:rsidRDefault="0014279E" w:rsidP="00594AA8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>Band scanning/initial cell search</w:t>
      </w:r>
    </w:p>
    <w:p w14:paraId="7E81D2B7" w14:textId="3637F355" w:rsid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>CRS Light up configuration</w:t>
      </w:r>
    </w:p>
    <w:p w14:paraId="4D36CD6B" w14:textId="77777777" w:rsidR="0014279E" w:rsidRP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 xml:space="preserve">CRS transmission over Y central PRBs within the cell BW in N subframe(s) once every M subframes </w:t>
      </w:r>
    </w:p>
    <w:p w14:paraId="1B7ED388" w14:textId="71A18700" w:rsidR="0014279E" w:rsidRDefault="0014279E" w:rsidP="0014279E">
      <w:pPr>
        <w:pStyle w:val="ListParagraph"/>
        <w:numPr>
          <w:ilvl w:val="3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Y = full BW</w:t>
      </w:r>
    </w:p>
    <w:p w14:paraId="5CC510D2" w14:textId="601BC6B3" w:rsidR="0014279E" w:rsidRDefault="0014279E" w:rsidP="0014279E">
      <w:pPr>
        <w:pStyle w:val="ListParagraph"/>
        <w:numPr>
          <w:ilvl w:val="3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N = 1</w:t>
      </w:r>
    </w:p>
    <w:p w14:paraId="24A2B086" w14:textId="6506E59D" w:rsidR="0014279E" w:rsidRDefault="0014279E" w:rsidP="0014279E">
      <w:pPr>
        <w:pStyle w:val="ListParagraph"/>
        <w:numPr>
          <w:ilvl w:val="3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M = </w:t>
      </w:r>
      <w:r w:rsidRPr="0014279E">
        <w:rPr>
          <w:rFonts w:ascii="Arial" w:hAnsi="Arial" w:cs="Arial"/>
          <w:iCs/>
          <w:highlight w:val="yellow"/>
        </w:rPr>
        <w:t>FFS</w:t>
      </w:r>
    </w:p>
    <w:p w14:paraId="54A39878" w14:textId="55CD5A3A" w:rsidR="0014279E" w:rsidRDefault="0014279E" w:rsidP="0014279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Pre-provisioning</w:t>
      </w:r>
      <w:r w:rsidRPr="0014279E">
        <w:t xml:space="preserve"> </w:t>
      </w:r>
      <w:r w:rsidRPr="0014279E">
        <w:rPr>
          <w:rFonts w:ascii="Arial" w:hAnsi="Arial" w:cs="Arial"/>
          <w:iCs/>
        </w:rPr>
        <w:t>of EARFCN is CRS transmissions are switched ON over full BW in 1 DL subframe</w:t>
      </w:r>
    </w:p>
    <w:p w14:paraId="7DC398F3" w14:textId="77777777" w:rsidR="0014279E" w:rsidRPr="0014279E" w:rsidRDefault="0014279E" w:rsidP="0014279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lastRenderedPageBreak/>
        <w:t>RAN4 found it beneficial for eMTC UE to have pre-provisioning of EARFCN for eMTC cell to facilitate initial cell search</w:t>
      </w:r>
    </w:p>
    <w:p w14:paraId="53CFACE5" w14:textId="77777777" w:rsidR="0014279E" w:rsidRPr="0014279E" w:rsidRDefault="0014279E" w:rsidP="0014279E">
      <w:pPr>
        <w:pStyle w:val="ListParagraph"/>
        <w:numPr>
          <w:ilvl w:val="3"/>
          <w:numId w:val="5"/>
        </w:numPr>
        <w:rPr>
          <w:rFonts w:ascii="Arial" w:hAnsi="Arial" w:cs="Arial"/>
          <w:iCs/>
        </w:rPr>
      </w:pPr>
      <w:r w:rsidRPr="0014279E">
        <w:rPr>
          <w:rFonts w:ascii="Arial" w:hAnsi="Arial" w:cs="Arial"/>
          <w:iCs/>
        </w:rPr>
        <w:t>beneficial irrespective of CRS muting but benefit is bigger when CRS is muted in the cell</w:t>
      </w:r>
    </w:p>
    <w:p w14:paraId="420B5111" w14:textId="50E241C8" w:rsidR="0014279E" w:rsidRDefault="00D5790E" w:rsidP="00D5790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Network signalling for CRS muting</w:t>
      </w:r>
    </w:p>
    <w:p w14:paraId="6D7FD41F" w14:textId="77777777" w:rsidR="00D5790E" w:rsidRPr="00D5790E" w:rsidRDefault="00D5790E" w:rsidP="00D5790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  <w:highlight w:val="yellow"/>
        </w:rPr>
        <w:t>FFS</w:t>
      </w:r>
      <w:r w:rsidRPr="00D5790E">
        <w:rPr>
          <w:rFonts w:ascii="Arial" w:hAnsi="Arial" w:cs="Arial"/>
          <w:iCs/>
        </w:rPr>
        <w:t xml:space="preserve"> whether eNB should indicate CRS muting and its associated location and timing information in cell-specific broadcast signaling</w:t>
      </w:r>
    </w:p>
    <w:p w14:paraId="5BF997A1" w14:textId="77777777" w:rsidR="00D5790E" w:rsidRPr="00D5790E" w:rsidRDefault="00D5790E" w:rsidP="00D5790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Rel-15 UE can optimize receiver/transmit algorithm depending on whether CRS muting is enabled in the eMTC cell or not</w:t>
      </w:r>
    </w:p>
    <w:p w14:paraId="1302703F" w14:textId="7AD205F3" w:rsidR="00D5790E" w:rsidRDefault="00D5790E" w:rsidP="00D5790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Measurements under high velocity</w:t>
      </w:r>
    </w:p>
    <w:p w14:paraId="6992D6EF" w14:textId="77777777" w:rsidR="00D5790E" w:rsidRPr="00D5790E" w:rsidRDefault="00D5790E" w:rsidP="00D5790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Intra-frequency RSRP/RSRQ measurement (measurement period and measurement accuracy) and cell identification requirements under non-DRX for gap pattern ID#0 are reused under high velocity (up to 220 Hz Doppler spread).</w:t>
      </w:r>
    </w:p>
    <w:p w14:paraId="414C843D" w14:textId="77777777" w:rsidR="00D5790E" w:rsidRPr="00D5790E" w:rsidRDefault="00D5790E" w:rsidP="00D5790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RAN4 shall study the corresponding requirements under DRX for next meeting (RAN4#86).</w:t>
      </w:r>
    </w:p>
    <w:p w14:paraId="2F79E3D7" w14:textId="77777777" w:rsidR="00D5790E" w:rsidRPr="00D5790E" w:rsidRDefault="00D5790E" w:rsidP="00D5790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UEs under high-velocity shall identify and measure cells on both serving and non-serving carriers</w:t>
      </w:r>
    </w:p>
    <w:p w14:paraId="663B2825" w14:textId="677999AF" w:rsidR="00D5790E" w:rsidRDefault="00D5790E" w:rsidP="00D5790E">
      <w:pPr>
        <w:pStyle w:val="ListParagraph"/>
        <w:numPr>
          <w:ilvl w:val="2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  <w:highlight w:val="yellow"/>
        </w:rPr>
        <w:t>FFS</w:t>
      </w:r>
      <w:r w:rsidRPr="00D5790E">
        <w:rPr>
          <w:rFonts w:ascii="Arial" w:hAnsi="Arial" w:cs="Arial"/>
          <w:iCs/>
        </w:rPr>
        <w:t xml:space="preserve"> optimization of gap sharing allocation for high velocity UE</w:t>
      </w:r>
    </w:p>
    <w:p w14:paraId="6D82F2C7" w14:textId="77777777" w:rsidR="00D5790E" w:rsidRPr="00D5790E" w:rsidRDefault="00D5790E" w:rsidP="00D5790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</w:rPr>
        <w:t>Information about high velocity operation</w:t>
      </w:r>
    </w:p>
    <w:p w14:paraId="53A8A9EA" w14:textId="77777777" w:rsidR="00D5790E" w:rsidRPr="00D5790E" w:rsidRDefault="00D5790E" w:rsidP="00D5790E">
      <w:pPr>
        <w:pStyle w:val="ListParagraph"/>
        <w:numPr>
          <w:ilvl w:val="1"/>
          <w:numId w:val="5"/>
        </w:numPr>
        <w:rPr>
          <w:rFonts w:ascii="Arial" w:hAnsi="Arial" w:cs="Arial"/>
          <w:iCs/>
        </w:rPr>
      </w:pPr>
      <w:r w:rsidRPr="00D5790E">
        <w:rPr>
          <w:rFonts w:ascii="Arial" w:hAnsi="Arial" w:cs="Arial"/>
          <w:iCs/>
          <w:highlight w:val="yellow"/>
        </w:rPr>
        <w:t>FFS</w:t>
      </w:r>
      <w:r w:rsidRPr="00D5790E">
        <w:rPr>
          <w:rFonts w:ascii="Arial" w:hAnsi="Arial" w:cs="Arial"/>
          <w:iCs/>
        </w:rPr>
        <w:t xml:space="preserve"> whether it beneficial to inform UEs about high velocity operation in a cell.</w:t>
      </w:r>
    </w:p>
    <w:p w14:paraId="3F09CD0E" w14:textId="1EBBBD40" w:rsidR="00D5790E" w:rsidRDefault="00D5790E" w:rsidP="00D5790E">
      <w:pPr>
        <w:rPr>
          <w:rFonts w:ascii="Arial" w:hAnsi="Arial" w:cs="Arial"/>
          <w:iCs/>
        </w:rPr>
      </w:pPr>
    </w:p>
    <w:p w14:paraId="23581033" w14:textId="77777777" w:rsidR="00D5790E" w:rsidRPr="00D5790E" w:rsidRDefault="00D5790E" w:rsidP="00D5790E">
      <w:pPr>
        <w:rPr>
          <w:rFonts w:ascii="Arial" w:hAnsi="Arial" w:cs="Arial"/>
          <w:iCs/>
        </w:rPr>
      </w:pPr>
    </w:p>
    <w:p w14:paraId="00E7B438" w14:textId="77777777" w:rsidR="0014279E" w:rsidRPr="0014279E" w:rsidRDefault="0014279E" w:rsidP="00594AA8">
      <w:pPr>
        <w:rPr>
          <w:rFonts w:ascii="Arial" w:hAnsi="Arial" w:cs="Arial"/>
          <w:iCs/>
        </w:rPr>
      </w:pPr>
    </w:p>
    <w:p w14:paraId="4FD4166D" w14:textId="77777777" w:rsidR="00463675" w:rsidRPr="00AB3D6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6D3190" w14:textId="77777777"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14:paraId="76130C3E" w14:textId="77777777"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14:paraId="53C9A9CC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14:paraId="6BBAD286" w14:textId="1CE94AEC" w:rsidR="005D024A" w:rsidRPr="00AB3D66" w:rsidRDefault="005D024A" w:rsidP="005D024A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14:paraId="46F76116" w14:textId="65EC5C18" w:rsidR="005D024A" w:rsidRPr="00AB3D66" w:rsidRDefault="005D024A" w:rsidP="005D024A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>RAN WG4 kindly asks RAN WG2 to take our conclusion into account and introduce the necessary signalling.</w:t>
      </w:r>
      <w:r>
        <w:rPr>
          <w:rFonts w:ascii="Arial" w:hAnsi="Arial" w:cs="Arial"/>
        </w:rPr>
        <w:t xml:space="preserve"> </w:t>
      </w:r>
      <w:r w:rsidRPr="00AB3D66">
        <w:rPr>
          <w:rFonts w:ascii="Arial" w:hAnsi="Arial" w:cs="Arial"/>
        </w:rPr>
        <w:t xml:space="preserve"> </w:t>
      </w:r>
    </w:p>
    <w:p w14:paraId="7A83D9F0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14:paraId="2F4CBC6E" w14:textId="77777777"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14:paraId="2DE5A5B3" w14:textId="77777777" w:rsidR="00463675" w:rsidRPr="00AB3D66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</w:t>
      </w:r>
      <w:r w:rsidR="002E3CB9" w:rsidRPr="00AB3D66">
        <w:rPr>
          <w:rFonts w:ascii="Arial" w:hAnsi="Arial" w:cs="Arial"/>
          <w:bCs/>
        </w:rPr>
        <w:t>RAN WG4</w:t>
      </w:r>
      <w:r w:rsidRPr="00AB3D66">
        <w:rPr>
          <w:rFonts w:ascii="Arial" w:hAnsi="Arial" w:cs="Arial"/>
          <w:bCs/>
        </w:rPr>
        <w:t xml:space="preserve"> Meeting #</w:t>
      </w:r>
      <w:r w:rsidR="002E3CB9" w:rsidRPr="00AB3D66">
        <w:rPr>
          <w:rFonts w:ascii="Arial" w:hAnsi="Arial" w:cs="Arial"/>
          <w:bCs/>
        </w:rPr>
        <w:t>86bis</w:t>
      </w:r>
      <w:r w:rsidR="00793E18" w:rsidRPr="00AB3D66">
        <w:rPr>
          <w:rFonts w:ascii="Arial" w:hAnsi="Arial" w:cs="Arial"/>
          <w:bCs/>
        </w:rPr>
        <w:t xml:space="preserve"> </w:t>
      </w:r>
      <w:r w:rsidR="00793E18" w:rsidRPr="00AB3D66">
        <w:rPr>
          <w:rFonts w:ascii="Arial" w:hAnsi="Arial" w:cs="Arial"/>
          <w:bCs/>
        </w:rPr>
        <w:tab/>
        <w:t>16th – 20</w:t>
      </w:r>
      <w:r w:rsidRPr="00AB3D66">
        <w:rPr>
          <w:rFonts w:ascii="Arial" w:hAnsi="Arial" w:cs="Arial"/>
          <w:bCs/>
        </w:rPr>
        <w:t xml:space="preserve">th </w:t>
      </w:r>
      <w:r w:rsidR="00793E18" w:rsidRPr="00AB3D66">
        <w:rPr>
          <w:rFonts w:ascii="Arial" w:hAnsi="Arial" w:cs="Arial"/>
          <w:bCs/>
        </w:rPr>
        <w:t>April 2018</w:t>
      </w:r>
      <w:r w:rsidRPr="00AB3D66">
        <w:rPr>
          <w:rFonts w:ascii="Arial" w:hAnsi="Arial" w:cs="Arial"/>
          <w:bCs/>
        </w:rPr>
        <w:tab/>
      </w:r>
      <w:r w:rsidR="00793E18" w:rsidRPr="00AB3D66">
        <w:rPr>
          <w:rFonts w:ascii="Arial" w:hAnsi="Arial" w:cs="Arial"/>
          <w:bCs/>
        </w:rPr>
        <w:t>Melbourne</w:t>
      </w:r>
      <w:r w:rsidRPr="00AB3D66">
        <w:rPr>
          <w:rFonts w:ascii="Arial" w:hAnsi="Arial" w:cs="Arial"/>
          <w:bCs/>
        </w:rPr>
        <w:t xml:space="preserve">, </w:t>
      </w:r>
      <w:r w:rsidR="00793E18" w:rsidRPr="00AB3D66">
        <w:rPr>
          <w:rFonts w:ascii="Arial" w:hAnsi="Arial" w:cs="Arial"/>
          <w:bCs/>
        </w:rPr>
        <w:t>Australia</w:t>
      </w:r>
      <w:r w:rsidRPr="00AB3D66">
        <w:rPr>
          <w:rFonts w:ascii="Arial" w:hAnsi="Arial" w:cs="Arial"/>
          <w:bCs/>
        </w:rPr>
        <w:t>.</w:t>
      </w:r>
    </w:p>
    <w:p w14:paraId="5E12806B" w14:textId="77777777" w:rsidR="00463675" w:rsidRPr="00AB3D66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87</w:t>
      </w:r>
      <w:r w:rsidR="00793E18" w:rsidRPr="00AB3D66">
        <w:rPr>
          <w:rFonts w:ascii="Arial" w:hAnsi="Arial" w:cs="Arial"/>
          <w:bCs/>
        </w:rPr>
        <w:tab/>
        <w:t>21st – 25</w:t>
      </w:r>
      <w:r w:rsidR="00463675" w:rsidRPr="00AB3D66">
        <w:rPr>
          <w:rFonts w:ascii="Arial" w:hAnsi="Arial" w:cs="Arial"/>
          <w:bCs/>
        </w:rPr>
        <w:t xml:space="preserve">th </w:t>
      </w:r>
      <w:r w:rsidR="00793E18" w:rsidRPr="00AB3D66">
        <w:rPr>
          <w:rFonts w:ascii="Arial" w:hAnsi="Arial" w:cs="Arial"/>
          <w:bCs/>
        </w:rPr>
        <w:t>May 2018</w:t>
      </w:r>
      <w:r w:rsidR="00463675" w:rsidRPr="00AB3D66">
        <w:rPr>
          <w:rFonts w:ascii="Arial" w:hAnsi="Arial" w:cs="Arial"/>
          <w:bCs/>
        </w:rPr>
        <w:tab/>
      </w:r>
      <w:r w:rsidR="00793E18" w:rsidRPr="00AB3D66">
        <w:rPr>
          <w:rFonts w:ascii="Arial" w:hAnsi="Arial" w:cs="Arial"/>
          <w:bCs/>
        </w:rPr>
        <w:t>Busan, South Korea</w:t>
      </w:r>
      <w:r w:rsidR="00463675" w:rsidRPr="00AB3D66">
        <w:rPr>
          <w:rFonts w:ascii="Arial" w:hAnsi="Arial" w:cs="Arial"/>
          <w:bCs/>
        </w:rPr>
        <w:t>.</w:t>
      </w:r>
    </w:p>
    <w:sectPr w:rsidR="00463675" w:rsidRPr="00AB3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4588D726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88D7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88D726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49692" w14:textId="77777777" w:rsidR="00463675" w:rsidRDefault="00463675">
      <w:r>
        <w:separator/>
      </w:r>
    </w:p>
  </w:endnote>
  <w:endnote w:type="continuationSeparator" w:id="0">
    <w:p w14:paraId="4C628B5E" w14:textId="77777777" w:rsidR="00463675" w:rsidRDefault="0046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0E2ED" w14:textId="77777777" w:rsidR="00463675" w:rsidRDefault="00463675">
      <w:r>
        <w:separator/>
      </w:r>
    </w:p>
  </w:footnote>
  <w:footnote w:type="continuationSeparator" w:id="0">
    <w:p w14:paraId="7563D638" w14:textId="77777777" w:rsidR="00463675" w:rsidRDefault="0046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560E"/>
    <w:rsid w:val="0012206F"/>
    <w:rsid w:val="0014279E"/>
    <w:rsid w:val="0015670A"/>
    <w:rsid w:val="001A0CDA"/>
    <w:rsid w:val="002E3CB9"/>
    <w:rsid w:val="00326478"/>
    <w:rsid w:val="00463675"/>
    <w:rsid w:val="00594AA8"/>
    <w:rsid w:val="005D024A"/>
    <w:rsid w:val="006C2820"/>
    <w:rsid w:val="00793E18"/>
    <w:rsid w:val="008A7ED6"/>
    <w:rsid w:val="00923E7C"/>
    <w:rsid w:val="009669B8"/>
    <w:rsid w:val="00AB3D66"/>
    <w:rsid w:val="00CE2890"/>
    <w:rsid w:val="00D5790E"/>
    <w:rsid w:val="00F01282"/>
    <w:rsid w:val="00F5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260437"/>
  <w15:chartTrackingRefBased/>
  <w15:docId w15:val="{AF7D9D47-5687-4010-9D74-9AAC385A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564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Kazuyoshi Uesaka</cp:lastModifiedBy>
  <cp:revision>11</cp:revision>
  <cp:lastPrinted>2002-04-23T00:10:00Z</cp:lastPrinted>
  <dcterms:created xsi:type="dcterms:W3CDTF">2018-01-31T08:30:00Z</dcterms:created>
  <dcterms:modified xsi:type="dcterms:W3CDTF">2018-02-19T02:08:00Z</dcterms:modified>
</cp:coreProperties>
</file>